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675D8" w14:textId="77777777" w:rsidR="00DC425F" w:rsidRDefault="00DC425F" w:rsidP="00FC1F7E">
      <w:pPr>
        <w:rPr>
          <w:rFonts w:cstheme="minorHAnsi"/>
          <w:b/>
          <w:sz w:val="24"/>
          <w:szCs w:val="24"/>
        </w:rPr>
      </w:pPr>
      <w:bookmarkStart w:id="0" w:name="_GoBack"/>
      <w:bookmarkEnd w:id="0"/>
      <w:r w:rsidRPr="00DC425F">
        <w:rPr>
          <w:rFonts w:cstheme="minorHAnsi"/>
          <w:b/>
          <w:sz w:val="24"/>
          <w:szCs w:val="24"/>
        </w:rPr>
        <w:t>Provisional Fellow</w:t>
      </w:r>
      <w:r w:rsidRPr="00AC1C83">
        <w:rPr>
          <w:rFonts w:cstheme="minorHAnsi"/>
          <w:b/>
          <w:sz w:val="24"/>
          <w:szCs w:val="24"/>
        </w:rPr>
        <w:t xml:space="preserve"> </w:t>
      </w:r>
    </w:p>
    <w:p w14:paraId="2313C872" w14:textId="77777777" w:rsidR="00FC1F7E" w:rsidRPr="00AC1C83" w:rsidRDefault="00FC1F7E" w:rsidP="00FC1F7E">
      <w:pPr>
        <w:rPr>
          <w:rFonts w:cstheme="minorHAnsi"/>
        </w:rPr>
      </w:pPr>
      <w:r w:rsidRPr="00AC1C83">
        <w:rPr>
          <w:rFonts w:cstheme="minorHAnsi"/>
          <w:b/>
          <w:sz w:val="24"/>
          <w:szCs w:val="24"/>
        </w:rPr>
        <w:t xml:space="preserve">Overview of the Organisation </w:t>
      </w:r>
      <w:r w:rsidRPr="00AC1C83">
        <w:rPr>
          <w:rFonts w:cstheme="minorHAnsi"/>
        </w:rPr>
        <w:br/>
        <w:t>Neuroscience Research Australia (NeuRA) is a leading independent medical research institute whose vision is to prevent and cure disease and disability of the brain and nervous system through leadership, excellence and innovation in neuroscience research. NeuRA has world-class research facilities and is based at Randwick in Sydney.</w:t>
      </w:r>
    </w:p>
    <w:p w14:paraId="48FD8352" w14:textId="77777777" w:rsidR="000F28DB" w:rsidRPr="00AC1C83" w:rsidRDefault="000F28DB" w:rsidP="000F28DB">
      <w:pPr>
        <w:spacing w:after="5" w:line="270" w:lineRule="auto"/>
        <w:rPr>
          <w:rFonts w:cstheme="minorHAnsi"/>
          <w:b/>
          <w:sz w:val="24"/>
          <w:szCs w:val="24"/>
        </w:rPr>
      </w:pPr>
      <w:r w:rsidRPr="00AC1C83">
        <w:rPr>
          <w:rFonts w:cstheme="minorHAnsi"/>
          <w:b/>
          <w:sz w:val="24"/>
          <w:szCs w:val="24"/>
        </w:rPr>
        <w:t xml:space="preserve">Encouraging Indigenous Applications </w:t>
      </w:r>
    </w:p>
    <w:p w14:paraId="40A3CCB0" w14:textId="77777777" w:rsidR="000F28DB" w:rsidRDefault="000F28DB" w:rsidP="000F28DB">
      <w:pPr>
        <w:rPr>
          <w:rFonts w:cstheme="minorHAnsi"/>
        </w:rPr>
      </w:pPr>
      <w:r w:rsidRPr="00AC1C83">
        <w:rPr>
          <w:rFonts w:cstheme="minorHAnsi"/>
        </w:rPr>
        <w:t>NeuRA is committed to achieving a diverse workforce and strongly encourages Aboriginal and Torres Strait Islander people to apply for this position.</w:t>
      </w:r>
    </w:p>
    <w:p w14:paraId="66F044FE" w14:textId="5AD2AE5B" w:rsidR="00DC425F" w:rsidRDefault="00FC1F7E" w:rsidP="000F28DB">
      <w:pPr>
        <w:rPr>
          <w:rFonts w:ascii="Neo Sans Std Light" w:hAnsi="Neo Sans Std Light"/>
        </w:rPr>
      </w:pPr>
      <w:r w:rsidRPr="00AC1C83">
        <w:rPr>
          <w:rFonts w:cstheme="minorHAnsi"/>
          <w:b/>
          <w:sz w:val="24"/>
          <w:szCs w:val="24"/>
        </w:rPr>
        <w:t>Overview of the Role</w:t>
      </w:r>
      <w:r w:rsidRPr="00AC1C83">
        <w:rPr>
          <w:rFonts w:cstheme="minorHAnsi"/>
        </w:rPr>
        <w:br/>
      </w:r>
      <w:r w:rsidR="00DC425F">
        <w:rPr>
          <w:rFonts w:ascii="Neo Sans Std Light" w:hAnsi="Neo Sans Std Light"/>
        </w:rPr>
        <w:t>Based at NeuRA and in</w:t>
      </w:r>
      <w:r w:rsidR="00DC425F" w:rsidRPr="00037CE0">
        <w:rPr>
          <w:rFonts w:ascii="Neo Sans Std Light" w:hAnsi="Neo Sans Std Light"/>
        </w:rPr>
        <w:t xml:space="preserve"> collaboration with the Prince of Wales hospital based on our Randwick Campus, the Provisional Fellow will be working in the subspecialty of Neurology, Neuromuscular Medicine, with a focus on Motor Neurone Disease and Clinical Neurophysiology. The applicant will participate in Motor Neurone Disease clinics </w:t>
      </w:r>
      <w:r w:rsidR="00DC425F">
        <w:rPr>
          <w:rFonts w:ascii="Neo Sans Std Light" w:hAnsi="Neo Sans Std Light"/>
        </w:rPr>
        <w:t xml:space="preserve">and clinical trial assessments. The applicant is </w:t>
      </w:r>
      <w:r w:rsidR="00DC425F" w:rsidRPr="00037CE0">
        <w:rPr>
          <w:rFonts w:ascii="Neo Sans Std Light" w:hAnsi="Neo Sans Std Light"/>
        </w:rPr>
        <w:t xml:space="preserve">expected to attend the weekly Neurology clinical meetings, and to present patients with neurodegenerative disorders during the Fellowship. </w:t>
      </w:r>
    </w:p>
    <w:p w14:paraId="2A93A1EF" w14:textId="77777777" w:rsidR="00C33475" w:rsidRDefault="000F28DB" w:rsidP="000F28DB">
      <w:pPr>
        <w:rPr>
          <w:rFonts w:ascii="Neo Sans Std Light" w:hAnsi="Neo Sans Std Light"/>
          <w:b/>
          <w:bCs/>
        </w:rPr>
      </w:pPr>
      <w:r w:rsidRPr="00230B16">
        <w:rPr>
          <w:rFonts w:ascii="Neo Sans Std Light" w:hAnsi="Neo Sans Std Light"/>
          <w:b/>
          <w:bCs/>
        </w:rPr>
        <w:t>Core Requirements and Experience</w:t>
      </w:r>
    </w:p>
    <w:p w14:paraId="7CB8299C" w14:textId="77777777" w:rsidR="000F28DB" w:rsidRPr="000F28DB" w:rsidRDefault="000F28DB" w:rsidP="00C33475">
      <w:pPr>
        <w:pStyle w:val="ListParagraph"/>
        <w:numPr>
          <w:ilvl w:val="0"/>
          <w:numId w:val="2"/>
        </w:numPr>
        <w:ind w:left="750"/>
        <w:rPr>
          <w:rFonts w:ascii="Neo Sans Std Light" w:hAnsi="Neo Sans Std Light"/>
        </w:rPr>
      </w:pPr>
      <w:r w:rsidRPr="000F28DB">
        <w:rPr>
          <w:rFonts w:ascii="Neo Sans Std Light" w:hAnsi="Neo Sans Std Light"/>
        </w:rPr>
        <w:t>MBBS or equivalent, currently registered, or eligible for registration with the Medical Board of Australia.</w:t>
      </w:r>
    </w:p>
    <w:p w14:paraId="40213311" w14:textId="77777777" w:rsidR="000F28DB" w:rsidRPr="00560077" w:rsidRDefault="000F28DB" w:rsidP="000F28DB">
      <w:pPr>
        <w:pStyle w:val="ListParagraph"/>
        <w:numPr>
          <w:ilvl w:val="0"/>
          <w:numId w:val="2"/>
        </w:numPr>
        <w:ind w:left="750"/>
        <w:rPr>
          <w:rFonts w:ascii="Neo Sans Std Light" w:hAnsi="Neo Sans Std Light"/>
        </w:rPr>
      </w:pPr>
      <w:r w:rsidRPr="00560077">
        <w:rPr>
          <w:rFonts w:ascii="Neo Sans Std Light" w:hAnsi="Neo Sans Std Light"/>
        </w:rPr>
        <w:t>Evidence of appropriate qualifications relevant to the position.</w:t>
      </w:r>
    </w:p>
    <w:p w14:paraId="54B0F482" w14:textId="77777777" w:rsidR="000F28DB" w:rsidRPr="00560077" w:rsidRDefault="000F28DB" w:rsidP="000F28DB">
      <w:pPr>
        <w:pStyle w:val="ListParagraph"/>
        <w:numPr>
          <w:ilvl w:val="0"/>
          <w:numId w:val="2"/>
        </w:numPr>
        <w:ind w:left="750"/>
        <w:rPr>
          <w:rFonts w:ascii="Neo Sans Std Light" w:hAnsi="Neo Sans Std Light"/>
        </w:rPr>
      </w:pPr>
      <w:r w:rsidRPr="00560077">
        <w:rPr>
          <w:rFonts w:ascii="Neo Sans Std Light" w:hAnsi="Neo Sans Std Light"/>
        </w:rPr>
        <w:t>Compliance with current National Criminal Record</w:t>
      </w:r>
      <w:r>
        <w:rPr>
          <w:rFonts w:ascii="Neo Sans Std Light" w:hAnsi="Neo Sans Std Light"/>
        </w:rPr>
        <w:t xml:space="preserve"> and associated</w:t>
      </w:r>
      <w:r w:rsidRPr="00560077">
        <w:rPr>
          <w:rFonts w:ascii="Neo Sans Std Light" w:hAnsi="Neo Sans Std Light"/>
        </w:rPr>
        <w:t xml:space="preserve"> checks.</w:t>
      </w:r>
    </w:p>
    <w:p w14:paraId="23A0F732" w14:textId="77777777" w:rsidR="000F28DB" w:rsidRPr="00560077" w:rsidRDefault="000F28DB" w:rsidP="000F28DB">
      <w:pPr>
        <w:pStyle w:val="ListParagraph"/>
        <w:numPr>
          <w:ilvl w:val="0"/>
          <w:numId w:val="2"/>
        </w:numPr>
        <w:ind w:left="750"/>
        <w:rPr>
          <w:rFonts w:ascii="Neo Sans Std Light" w:hAnsi="Neo Sans Std Light"/>
        </w:rPr>
      </w:pPr>
      <w:r>
        <w:rPr>
          <w:rFonts w:ascii="Neo Sans Std Light" w:hAnsi="Neo Sans Std Light"/>
        </w:rPr>
        <w:t>E</w:t>
      </w:r>
      <w:r w:rsidRPr="00560077">
        <w:rPr>
          <w:rFonts w:ascii="Neo Sans Std Light" w:hAnsi="Neo Sans Std Light"/>
        </w:rPr>
        <w:t>vidence of vaccinatio</w:t>
      </w:r>
      <w:r>
        <w:rPr>
          <w:rFonts w:ascii="Neo Sans Std Light" w:hAnsi="Neo Sans Std Light"/>
        </w:rPr>
        <w:t>n</w:t>
      </w:r>
      <w:r w:rsidRPr="00560077">
        <w:rPr>
          <w:rFonts w:ascii="Neo Sans Std Light" w:hAnsi="Neo Sans Std Light"/>
        </w:rPr>
        <w:t xml:space="preserve"> against Specified Infectious Diseases Policy</w:t>
      </w:r>
      <w:r>
        <w:rPr>
          <w:rFonts w:ascii="Neo Sans Std Light" w:hAnsi="Neo Sans Std Light"/>
        </w:rPr>
        <w:t xml:space="preserve"> with NSW Health.</w:t>
      </w:r>
    </w:p>
    <w:p w14:paraId="7137F614" w14:textId="77777777" w:rsidR="000F28DB" w:rsidRPr="00560077" w:rsidRDefault="000F28DB" w:rsidP="000F28DB">
      <w:pPr>
        <w:pStyle w:val="ListParagraph"/>
        <w:numPr>
          <w:ilvl w:val="0"/>
          <w:numId w:val="2"/>
        </w:numPr>
        <w:ind w:left="750"/>
        <w:rPr>
          <w:rFonts w:ascii="Neo Sans Std Light" w:hAnsi="Neo Sans Std Light"/>
        </w:rPr>
      </w:pPr>
      <w:r w:rsidRPr="00560077">
        <w:rPr>
          <w:rFonts w:ascii="Neo Sans Std Light" w:hAnsi="Neo Sans Std Light"/>
        </w:rPr>
        <w:t>Interest and/or experience in clinical research studies and teaching.</w:t>
      </w:r>
    </w:p>
    <w:p w14:paraId="0AE850F5" w14:textId="77777777" w:rsidR="000F28DB" w:rsidRPr="00560077" w:rsidRDefault="000F28DB" w:rsidP="000F28DB">
      <w:pPr>
        <w:pStyle w:val="ListParagraph"/>
        <w:numPr>
          <w:ilvl w:val="0"/>
          <w:numId w:val="2"/>
        </w:numPr>
        <w:ind w:left="750"/>
        <w:rPr>
          <w:rFonts w:ascii="Neo Sans Std Light" w:hAnsi="Neo Sans Std Light"/>
        </w:rPr>
      </w:pPr>
      <w:r w:rsidRPr="00560077">
        <w:rPr>
          <w:rFonts w:ascii="Neo Sans Std Light" w:hAnsi="Neo Sans Std Light"/>
        </w:rPr>
        <w:t>Ability to work under supervision and understanding the limitations.</w:t>
      </w:r>
    </w:p>
    <w:p w14:paraId="0D768BDE" w14:textId="77777777" w:rsidR="000F28DB" w:rsidRPr="00560077" w:rsidRDefault="000F28DB" w:rsidP="000F28DB">
      <w:pPr>
        <w:pStyle w:val="ListParagraph"/>
        <w:numPr>
          <w:ilvl w:val="0"/>
          <w:numId w:val="2"/>
        </w:numPr>
        <w:ind w:left="750"/>
        <w:rPr>
          <w:rFonts w:ascii="Neo Sans Std Light" w:hAnsi="Neo Sans Std Light"/>
        </w:rPr>
      </w:pPr>
      <w:r w:rsidRPr="00560077">
        <w:rPr>
          <w:rFonts w:ascii="Neo Sans Std Light" w:hAnsi="Neo Sans Std Light"/>
        </w:rPr>
        <w:t>Compliance with various legislative, policy/ protocol requirements relating to: NSW Cod</w:t>
      </w:r>
      <w:r>
        <w:rPr>
          <w:rFonts w:ascii="Neo Sans Std Light" w:hAnsi="Neo Sans Std Light"/>
        </w:rPr>
        <w:t>e of Conduct, NSW Medical Board</w:t>
      </w:r>
      <w:r w:rsidRPr="00560077">
        <w:rPr>
          <w:rFonts w:ascii="Neo Sans Std Light" w:hAnsi="Neo Sans Std Light"/>
        </w:rPr>
        <w:t xml:space="preserve"> and hospital requirements.</w:t>
      </w:r>
    </w:p>
    <w:p w14:paraId="17E0745B" w14:textId="77777777" w:rsidR="000F28DB" w:rsidRPr="00560077" w:rsidRDefault="000F28DB" w:rsidP="000F28DB">
      <w:pPr>
        <w:pStyle w:val="ListParagraph"/>
        <w:numPr>
          <w:ilvl w:val="0"/>
          <w:numId w:val="2"/>
        </w:numPr>
        <w:ind w:left="750"/>
        <w:rPr>
          <w:rFonts w:ascii="Neo Sans Std Light" w:hAnsi="Neo Sans Std Light"/>
        </w:rPr>
      </w:pPr>
      <w:r w:rsidRPr="00560077">
        <w:rPr>
          <w:rFonts w:ascii="Neo Sans Std Light" w:hAnsi="Neo Sans Std Light"/>
        </w:rPr>
        <w:t>Relevant clinical experience in Neurology, Research and Teaching.</w:t>
      </w:r>
    </w:p>
    <w:p w14:paraId="18DC7D16" w14:textId="77777777" w:rsidR="000F28DB" w:rsidRPr="00560077" w:rsidRDefault="000F28DB" w:rsidP="000F28DB">
      <w:pPr>
        <w:pStyle w:val="ListParagraph"/>
        <w:numPr>
          <w:ilvl w:val="0"/>
          <w:numId w:val="2"/>
        </w:numPr>
        <w:ind w:left="750"/>
        <w:rPr>
          <w:rFonts w:ascii="Neo Sans Std Light" w:hAnsi="Neo Sans Std Light"/>
        </w:rPr>
      </w:pPr>
      <w:r w:rsidRPr="00560077">
        <w:rPr>
          <w:rFonts w:ascii="Neo Sans Std Light" w:hAnsi="Neo Sans Std Light"/>
        </w:rPr>
        <w:t>High level of initiative and judgement in handling clinical issues and making clinical decisions.</w:t>
      </w:r>
    </w:p>
    <w:p w14:paraId="5DB7670B" w14:textId="77777777" w:rsidR="000F28DB" w:rsidRPr="00560077" w:rsidRDefault="000F28DB" w:rsidP="000F28DB">
      <w:pPr>
        <w:pStyle w:val="ListParagraph"/>
        <w:numPr>
          <w:ilvl w:val="0"/>
          <w:numId w:val="2"/>
        </w:numPr>
        <w:ind w:left="750"/>
        <w:rPr>
          <w:rFonts w:ascii="Neo Sans Std Light" w:hAnsi="Neo Sans Std Light"/>
        </w:rPr>
      </w:pPr>
      <w:r w:rsidRPr="00560077">
        <w:rPr>
          <w:rFonts w:ascii="Neo Sans Std Light" w:hAnsi="Neo Sans Std Light"/>
        </w:rPr>
        <w:t>Ability to work effectively with clinical and research staff within a multidisciplinary team environment.</w:t>
      </w:r>
    </w:p>
    <w:p w14:paraId="5FF8F7B9" w14:textId="77777777" w:rsidR="000F28DB" w:rsidRPr="00560077" w:rsidRDefault="000F28DB" w:rsidP="000F28DB">
      <w:pPr>
        <w:pStyle w:val="ListParagraph"/>
        <w:numPr>
          <w:ilvl w:val="0"/>
          <w:numId w:val="2"/>
        </w:numPr>
        <w:ind w:left="750"/>
        <w:rPr>
          <w:rFonts w:ascii="Neo Sans Std Light" w:hAnsi="Neo Sans Std Light"/>
        </w:rPr>
      </w:pPr>
      <w:r w:rsidRPr="00560077">
        <w:rPr>
          <w:rFonts w:ascii="Neo Sans Std Light" w:hAnsi="Neo Sans Std Light"/>
        </w:rPr>
        <w:t>Capacity to adhere to a research study protocol.</w:t>
      </w:r>
    </w:p>
    <w:p w14:paraId="6D444F2B" w14:textId="61B4EF7B" w:rsidR="00FC1F7E" w:rsidRPr="00AC1C83" w:rsidRDefault="00FC1F7E" w:rsidP="00FC1F7E">
      <w:pPr>
        <w:rPr>
          <w:rFonts w:cstheme="minorHAnsi"/>
        </w:rPr>
      </w:pPr>
      <w:r w:rsidRPr="00AC1C83">
        <w:rPr>
          <w:rFonts w:cstheme="minorHAnsi"/>
          <w:b/>
          <w:sz w:val="24"/>
          <w:szCs w:val="24"/>
        </w:rPr>
        <w:t xml:space="preserve">How to Apply </w:t>
      </w:r>
      <w:r w:rsidRPr="00AC1C83">
        <w:rPr>
          <w:rFonts w:cstheme="minorHAnsi"/>
        </w:rPr>
        <w:br/>
        <w:t xml:space="preserve">For more information or a confidential chat about the role, please contact </w:t>
      </w:r>
      <w:r w:rsidR="0058654A">
        <w:rPr>
          <w:rFonts w:cstheme="minorHAnsi"/>
        </w:rPr>
        <w:t xml:space="preserve">the NeuRA People and Culture Team at </w:t>
      </w:r>
      <w:r w:rsidR="00DD4E32" w:rsidRPr="00DD4E32">
        <w:rPr>
          <w:rFonts w:cstheme="minorHAnsi"/>
        </w:rPr>
        <w:t>HR@Neura.edu.au</w:t>
      </w:r>
    </w:p>
    <w:p w14:paraId="709E1217" w14:textId="1FBA5F45" w:rsidR="00FC1F7E" w:rsidRPr="00AC1C83" w:rsidRDefault="00FC1F7E" w:rsidP="00FC1F7E">
      <w:pPr>
        <w:spacing w:after="0"/>
        <w:rPr>
          <w:rFonts w:cstheme="minorHAnsi"/>
        </w:rPr>
      </w:pPr>
      <w:r w:rsidRPr="00AC1C83">
        <w:rPr>
          <w:rFonts w:cstheme="minorHAnsi"/>
        </w:rPr>
        <w:t xml:space="preserve">To view the full position description, please visit: </w:t>
      </w:r>
      <w:r w:rsidR="00DD4E32" w:rsidRPr="00DD4E32">
        <w:t>https://neura.edu.au/careers/work-with-us</w:t>
      </w:r>
    </w:p>
    <w:p w14:paraId="7B28E4BA" w14:textId="77777777" w:rsidR="00FC1F7E" w:rsidRPr="00AC1C83" w:rsidRDefault="00FC1F7E" w:rsidP="00FC1F7E">
      <w:pPr>
        <w:spacing w:after="0"/>
        <w:rPr>
          <w:rFonts w:cstheme="minorHAnsi"/>
        </w:rPr>
      </w:pPr>
    </w:p>
    <w:p w14:paraId="6ADBB4D2" w14:textId="77777777" w:rsidR="00FC1F7E" w:rsidRPr="00AC1C83" w:rsidRDefault="00FC1F7E" w:rsidP="00FC1F7E">
      <w:pPr>
        <w:spacing w:after="0"/>
        <w:rPr>
          <w:rFonts w:cstheme="minorHAnsi"/>
        </w:rPr>
      </w:pPr>
      <w:r w:rsidRPr="00AC1C83">
        <w:rPr>
          <w:rFonts w:cstheme="minorHAnsi"/>
        </w:rPr>
        <w:t xml:space="preserve">To apply, submit your CV and cover letter addressing the selection criteria via seek.com.au.  </w:t>
      </w:r>
    </w:p>
    <w:p w14:paraId="09B4C2DF" w14:textId="6AA4611A" w:rsidR="00FC1F7E" w:rsidRPr="00AC1C83" w:rsidRDefault="00FC1F7E" w:rsidP="00FC1F7E">
      <w:pPr>
        <w:spacing w:after="5" w:line="270" w:lineRule="auto"/>
        <w:ind w:right="1814"/>
        <w:rPr>
          <w:rFonts w:cstheme="minorHAnsi"/>
        </w:rPr>
      </w:pPr>
      <w:r w:rsidRPr="00AC1C83">
        <w:rPr>
          <w:rFonts w:cstheme="minorHAnsi"/>
        </w:rPr>
        <w:t xml:space="preserve">Please note that applications will not be accepted via other mediums i.e. email   </w:t>
      </w:r>
      <w:r w:rsidRPr="00AC1C83">
        <w:rPr>
          <w:rFonts w:cstheme="minorHAnsi"/>
        </w:rPr>
        <w:br/>
      </w:r>
      <w:r w:rsidRPr="00AC1C83">
        <w:rPr>
          <w:rFonts w:cstheme="minorHAnsi"/>
        </w:rPr>
        <w:br/>
      </w:r>
      <w:r w:rsidRPr="00AC1C83">
        <w:rPr>
          <w:rFonts w:cstheme="minorHAnsi"/>
          <w:b/>
          <w:u w:val="single"/>
        </w:rPr>
        <w:t>Closing date:</w:t>
      </w:r>
      <w:r w:rsidRPr="00AC1C83">
        <w:rPr>
          <w:rFonts w:cstheme="minorHAnsi"/>
        </w:rPr>
        <w:t xml:space="preserve"> </w:t>
      </w:r>
      <w:r w:rsidR="0058654A">
        <w:rPr>
          <w:rFonts w:cstheme="minorHAnsi"/>
        </w:rPr>
        <w:t>30 June 2024</w:t>
      </w:r>
      <w:r w:rsidR="0058654A" w:rsidRPr="00AC1C83">
        <w:rPr>
          <w:rFonts w:cstheme="minorHAnsi"/>
        </w:rPr>
        <w:t xml:space="preserve"> </w:t>
      </w:r>
    </w:p>
    <w:p w14:paraId="76A48BBF" w14:textId="77777777" w:rsidR="00FC1F7E" w:rsidRPr="00AC1C83" w:rsidRDefault="00FC1F7E" w:rsidP="00FC1F7E">
      <w:pPr>
        <w:rPr>
          <w:rFonts w:cstheme="minorHAnsi"/>
        </w:rPr>
      </w:pPr>
    </w:p>
    <w:p w14:paraId="21921B12" w14:textId="77777777" w:rsidR="00FC1F7E" w:rsidRPr="00AC1C83" w:rsidRDefault="00FC1F7E" w:rsidP="00FC1F7E">
      <w:pPr>
        <w:rPr>
          <w:rFonts w:cstheme="minorHAnsi"/>
        </w:rPr>
      </w:pPr>
      <w:r w:rsidRPr="00AC1C83">
        <w:rPr>
          <w:rFonts w:cstheme="minorHAnsi"/>
        </w:rPr>
        <w:lastRenderedPageBreak/>
        <w:t xml:space="preserve">You must have the right to live and work in Australia. </w:t>
      </w:r>
    </w:p>
    <w:p w14:paraId="7D253E9A" w14:textId="77777777" w:rsidR="00FC1F7E" w:rsidRPr="00AC1C83" w:rsidRDefault="00FC1F7E" w:rsidP="00FC1F7E">
      <w:pPr>
        <w:spacing w:after="2"/>
        <w:rPr>
          <w:rFonts w:cstheme="minorHAnsi"/>
        </w:rPr>
      </w:pPr>
      <w:r w:rsidRPr="00AC1C83">
        <w:rPr>
          <w:rFonts w:cstheme="minorHAnsi"/>
        </w:rPr>
        <w:t xml:space="preserve">Neuroscience Research Australia (NeuRA) is an Equal Employment Opportunity Employer. We are committed to promoting equality of opportunity and eliminating discrimination in all our employment policies and practices. </w:t>
      </w:r>
      <w:r w:rsidRPr="00AC1C83">
        <w:rPr>
          <w:rFonts w:cstheme="minorHAnsi"/>
        </w:rPr>
        <w:br/>
      </w:r>
    </w:p>
    <w:p w14:paraId="18DF9B93" w14:textId="77777777" w:rsidR="00FC1F7E" w:rsidRDefault="00FC1F7E" w:rsidP="00FC1F7E">
      <w:pPr>
        <w:spacing w:after="152" w:line="270" w:lineRule="auto"/>
        <w:rPr>
          <w:rFonts w:cstheme="minorHAnsi"/>
        </w:rPr>
      </w:pPr>
      <w:r w:rsidRPr="00AC1C83">
        <w:rPr>
          <w:rFonts w:cstheme="minorHAnsi"/>
        </w:rPr>
        <w:t xml:space="preserve">NeuRA acknowledges the traditional custodians of the lands on which we work, and extends respect to all Elders past, present, and emerging. </w:t>
      </w:r>
    </w:p>
    <w:p w14:paraId="5560132B" w14:textId="77777777" w:rsidR="00515B32" w:rsidRDefault="00515B32"/>
    <w:sectPr w:rsidR="00515B3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9494B" w14:textId="77777777" w:rsidR="00ED2513" w:rsidRDefault="00ED2513" w:rsidP="00FC1F7E">
      <w:pPr>
        <w:spacing w:after="0" w:line="240" w:lineRule="auto"/>
      </w:pPr>
      <w:r>
        <w:separator/>
      </w:r>
    </w:p>
  </w:endnote>
  <w:endnote w:type="continuationSeparator" w:id="0">
    <w:p w14:paraId="5A45281D" w14:textId="77777777" w:rsidR="00ED2513" w:rsidRDefault="00ED2513" w:rsidP="00FC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o Sans Std Light">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84229" w14:textId="77777777" w:rsidR="00FC1F7E" w:rsidRPr="00FC1F7E" w:rsidRDefault="00FC1F7E" w:rsidP="00FC1F7E">
    <w:pPr>
      <w:pStyle w:val="Footer"/>
      <w:jc w:val="right"/>
      <w:rPr>
        <w:sz w:val="18"/>
        <w:szCs w:val="18"/>
        <w:lang w:val="en-US"/>
      </w:rPr>
    </w:pPr>
    <w:r w:rsidRPr="00FC1F7E">
      <w:rPr>
        <w:sz w:val="18"/>
        <w:szCs w:val="18"/>
        <w:lang w:val="en-US"/>
      </w:rPr>
      <w:t>Advert Template v2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6CBDD" w14:textId="77777777" w:rsidR="00ED2513" w:rsidRDefault="00ED2513" w:rsidP="00FC1F7E">
      <w:pPr>
        <w:spacing w:after="0" w:line="240" w:lineRule="auto"/>
      </w:pPr>
      <w:r>
        <w:separator/>
      </w:r>
    </w:p>
  </w:footnote>
  <w:footnote w:type="continuationSeparator" w:id="0">
    <w:p w14:paraId="701895EA" w14:textId="77777777" w:rsidR="00ED2513" w:rsidRDefault="00ED2513" w:rsidP="00FC1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B69F" w14:textId="77777777" w:rsidR="00FC1F7E" w:rsidRPr="00FC1F7E" w:rsidRDefault="00FC1F7E" w:rsidP="00FC1F7E">
    <w:pPr>
      <w:pStyle w:val="Header"/>
      <w:jc w:val="right"/>
    </w:pPr>
    <w:r>
      <w:rPr>
        <w:noProof/>
        <w:lang w:eastAsia="en-AU"/>
      </w:rPr>
      <w:drawing>
        <wp:inline distT="0" distB="0" distL="0" distR="0" wp14:anchorId="663F7982" wp14:editId="2C2561AB">
          <wp:extent cx="16478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8621C"/>
    <w:multiLevelType w:val="hybridMultilevel"/>
    <w:tmpl w:val="2EA60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3111EC"/>
    <w:multiLevelType w:val="hybridMultilevel"/>
    <w:tmpl w:val="93BAE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F7E"/>
    <w:rsid w:val="000369C2"/>
    <w:rsid w:val="000F28DB"/>
    <w:rsid w:val="00237F03"/>
    <w:rsid w:val="00355199"/>
    <w:rsid w:val="00515B32"/>
    <w:rsid w:val="0058654A"/>
    <w:rsid w:val="006418C5"/>
    <w:rsid w:val="00C33475"/>
    <w:rsid w:val="00DC425F"/>
    <w:rsid w:val="00DD4E32"/>
    <w:rsid w:val="00ED2513"/>
    <w:rsid w:val="00FC1F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8CC8"/>
  <w15:chartTrackingRefBased/>
  <w15:docId w15:val="{53A55CA5-8C95-4141-84E4-E4F153B5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C1F7E"/>
    <w:pPr>
      <w:ind w:left="720"/>
      <w:contextualSpacing/>
    </w:pPr>
  </w:style>
  <w:style w:type="character" w:styleId="Hyperlink">
    <w:name w:val="Hyperlink"/>
    <w:basedOn w:val="DefaultParagraphFont"/>
    <w:uiPriority w:val="99"/>
    <w:unhideWhenUsed/>
    <w:rsid w:val="00FC1F7E"/>
    <w:rPr>
      <w:color w:val="0563C1" w:themeColor="hyperlink"/>
      <w:u w:val="single"/>
    </w:rPr>
  </w:style>
  <w:style w:type="paragraph" w:styleId="Header">
    <w:name w:val="header"/>
    <w:basedOn w:val="Normal"/>
    <w:link w:val="HeaderChar"/>
    <w:uiPriority w:val="99"/>
    <w:unhideWhenUsed/>
    <w:rsid w:val="00FC1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F7E"/>
  </w:style>
  <w:style w:type="paragraph" w:styleId="Footer">
    <w:name w:val="footer"/>
    <w:basedOn w:val="Normal"/>
    <w:link w:val="FooterChar"/>
    <w:uiPriority w:val="99"/>
    <w:unhideWhenUsed/>
    <w:rsid w:val="00FC1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F7E"/>
  </w:style>
  <w:style w:type="character" w:styleId="FollowedHyperlink">
    <w:name w:val="FollowedHyperlink"/>
    <w:basedOn w:val="DefaultParagraphFont"/>
    <w:uiPriority w:val="99"/>
    <w:semiHidden/>
    <w:unhideWhenUsed/>
    <w:rsid w:val="00C33475"/>
    <w:rPr>
      <w:color w:val="954F72" w:themeColor="followedHyperlink"/>
      <w:u w:val="single"/>
    </w:rPr>
  </w:style>
  <w:style w:type="paragraph" w:styleId="Revision">
    <w:name w:val="Revision"/>
    <w:hidden/>
    <w:uiPriority w:val="99"/>
    <w:semiHidden/>
    <w:rsid w:val="000369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Small</dc:creator>
  <cp:keywords/>
  <dc:description/>
  <cp:lastModifiedBy>Fame Two</cp:lastModifiedBy>
  <cp:revision>2</cp:revision>
  <dcterms:created xsi:type="dcterms:W3CDTF">2024-06-03T02:05:00Z</dcterms:created>
  <dcterms:modified xsi:type="dcterms:W3CDTF">2024-06-03T02:05:00Z</dcterms:modified>
</cp:coreProperties>
</file>